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eastAsia="宋体"/>
          <w:b/>
          <w:color w:val="auto"/>
          <w:spacing w:val="20"/>
          <w:sz w:val="44"/>
          <w:szCs w:val="44"/>
          <w:lang w:val="en-US" w:eastAsia="zh-CN"/>
        </w:rPr>
      </w:pPr>
    </w:p>
    <w:p>
      <w:pPr>
        <w:spacing w:line="360" w:lineRule="auto"/>
        <w:jc w:val="center"/>
        <w:rPr>
          <w:rFonts w:hint="eastAsia" w:hAnsi="宋体" w:eastAsia="宋体"/>
          <w:b/>
          <w:color w:val="auto"/>
          <w:spacing w:val="20"/>
          <w:sz w:val="44"/>
          <w:szCs w:val="44"/>
          <w:lang w:val="en-US" w:eastAsia="zh-CN"/>
        </w:rPr>
      </w:pPr>
    </w:p>
    <w:p>
      <w:pPr>
        <w:spacing w:line="360" w:lineRule="auto"/>
        <w:jc w:val="center"/>
        <w:rPr>
          <w:rFonts w:hint="eastAsia" w:ascii="黑体" w:hAnsi="黑体" w:eastAsia="黑体" w:cs="黑体"/>
          <w:b w:val="0"/>
          <w:bCs/>
          <w:color w:val="auto"/>
          <w:spacing w:val="20"/>
          <w:sz w:val="44"/>
          <w:szCs w:val="44"/>
          <w:lang w:val="en-US" w:eastAsia="zh-CN"/>
        </w:rPr>
      </w:pPr>
      <w:r>
        <w:rPr>
          <w:rFonts w:hint="eastAsia" w:ascii="黑体" w:hAnsi="黑体" w:eastAsia="黑体" w:cs="黑体"/>
          <w:b w:val="0"/>
          <w:bCs/>
          <w:color w:val="auto"/>
          <w:spacing w:val="20"/>
          <w:sz w:val="44"/>
          <w:szCs w:val="44"/>
          <w:lang w:val="en-US" w:eastAsia="zh-CN"/>
        </w:rPr>
        <w:t>生产建设项目水土保持设施</w:t>
      </w:r>
    </w:p>
    <w:p>
      <w:pPr>
        <w:spacing w:line="360" w:lineRule="auto"/>
        <w:jc w:val="center"/>
        <w:rPr>
          <w:rFonts w:hint="eastAsia" w:hAnsi="宋体"/>
          <w:b/>
          <w:color w:val="auto"/>
          <w:spacing w:val="20"/>
          <w:sz w:val="44"/>
          <w:szCs w:val="44"/>
          <w:lang w:val="en-US" w:eastAsia="zh-CN"/>
        </w:rPr>
      </w:pPr>
    </w:p>
    <w:p>
      <w:pPr>
        <w:spacing w:line="360" w:lineRule="auto"/>
        <w:jc w:val="center"/>
        <w:rPr>
          <w:rFonts w:hint="eastAsia" w:ascii="仿宋" w:hAnsi="仿宋" w:eastAsia="仿宋" w:cs="仿宋"/>
          <w:b/>
          <w:color w:val="auto"/>
          <w:spacing w:val="23"/>
          <w:sz w:val="72"/>
          <w:szCs w:val="72"/>
        </w:rPr>
      </w:pPr>
      <w:r>
        <w:rPr>
          <w:rFonts w:hint="eastAsia" w:ascii="楷体" w:hAnsi="楷体" w:eastAsia="楷体" w:cs="楷体"/>
          <w:b/>
          <w:color w:val="auto"/>
          <w:spacing w:val="23"/>
          <w:sz w:val="72"/>
          <w:szCs w:val="72"/>
          <w:lang w:eastAsia="zh-CN"/>
        </w:rPr>
        <w:t>验收鉴定</w:t>
      </w:r>
      <w:r>
        <w:rPr>
          <w:rFonts w:hint="eastAsia" w:ascii="楷体" w:hAnsi="楷体" w:eastAsia="楷体" w:cs="楷体"/>
          <w:b/>
          <w:color w:val="auto"/>
          <w:spacing w:val="23"/>
          <w:sz w:val="72"/>
          <w:szCs w:val="72"/>
        </w:rPr>
        <w:t>书</w:t>
      </w: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项目名称：</w:t>
      </w:r>
      <w:r>
        <w:rPr>
          <w:rFonts w:hint="eastAsia" w:ascii="黑体" w:hAnsi="黑体" w:eastAsia="黑体" w:cs="黑体"/>
          <w:b w:val="0"/>
          <w:bCs/>
          <w:color w:val="auto"/>
          <w:sz w:val="28"/>
          <w:szCs w:val="28"/>
          <w:lang w:val="en-US" w:eastAsia="zh-CN"/>
        </w:rPr>
        <w:t xml:space="preserve">  </w:t>
      </w:r>
      <w:r>
        <w:rPr>
          <w:rFonts w:hint="eastAsia" w:eastAsia="仿宋" w:cs="Times New Roman"/>
          <w:b/>
          <w:color w:val="auto"/>
          <w:sz w:val="28"/>
          <w:szCs w:val="28"/>
          <w:u w:val="single"/>
          <w:lang w:val="en-US" w:eastAsia="zh-CN"/>
        </w:rPr>
        <w:t>华润新能源阳曲杨兴50MW风力发电项目</w:t>
      </w:r>
      <w:r>
        <w:rPr>
          <w:rFonts w:hint="eastAsia" w:eastAsia="仿宋"/>
          <w:b/>
          <w:color w:val="auto"/>
          <w:sz w:val="28"/>
          <w:szCs w:val="28"/>
          <w:u w:val="single"/>
          <w:lang w:val="en-US" w:eastAsia="zh-CN"/>
        </w:rPr>
        <w:t xml:space="preserve">                          </w:t>
      </w:r>
    </w:p>
    <w:p>
      <w:pPr>
        <w:tabs>
          <w:tab w:val="left" w:pos="6758"/>
        </w:tabs>
        <w:spacing w:line="500" w:lineRule="exact"/>
        <w:jc w:val="both"/>
        <w:rPr>
          <w:rFonts w:hint="default" w:eastAsia="仿宋"/>
          <w:b/>
          <w:color w:val="auto"/>
          <w:sz w:val="28"/>
          <w:szCs w:val="28"/>
          <w:lang w:val="en-US" w:eastAsia="zh-CN"/>
        </w:rPr>
      </w:pPr>
      <w:r>
        <w:rPr>
          <w:rFonts w:hint="eastAsia" w:ascii="黑体" w:hAnsi="黑体" w:eastAsia="黑体" w:cs="黑体"/>
          <w:b w:val="0"/>
          <w:bCs/>
          <w:color w:val="auto"/>
          <w:sz w:val="28"/>
          <w:szCs w:val="28"/>
          <w:lang w:eastAsia="zh-CN"/>
        </w:rPr>
        <w:t>项目编号</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晋发改新能源发[2016] 996号                                       </w:t>
      </w:r>
      <w:r>
        <w:rPr>
          <w:rFonts w:hint="eastAsia" w:eastAsia="仿宋"/>
          <w:b/>
          <w:color w:val="auto"/>
          <w:sz w:val="28"/>
          <w:szCs w:val="28"/>
          <w:lang w:val="en-US" w:eastAsia="zh-CN"/>
        </w:rPr>
        <w:t xml:space="preserve">          </w:t>
      </w: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建设地点</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阳曲县、定襄县                                              </w:t>
      </w:r>
    </w:p>
    <w:p>
      <w:pPr>
        <w:tabs>
          <w:tab w:val="left" w:pos="6758"/>
        </w:tabs>
        <w:spacing w:line="500" w:lineRule="exact"/>
        <w:jc w:val="both"/>
        <w:rPr>
          <w:rFonts w:hint="default" w:eastAsia="仿宋"/>
          <w:b/>
          <w:color w:val="auto"/>
          <w:sz w:val="28"/>
          <w:szCs w:val="28"/>
          <w:u w:val="none"/>
          <w:lang w:val="en-US" w:eastAsia="zh-CN"/>
        </w:rPr>
      </w:pPr>
      <w:r>
        <w:rPr>
          <w:rFonts w:hint="eastAsia" w:ascii="黑体" w:hAnsi="黑体" w:eastAsia="黑体" w:cs="黑体"/>
          <w:b w:val="0"/>
          <w:bCs/>
          <w:color w:val="auto"/>
          <w:sz w:val="28"/>
          <w:szCs w:val="28"/>
          <w:lang w:eastAsia="zh-CN"/>
        </w:rPr>
        <w:t>验收单位</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w:t>
      </w:r>
      <w:r>
        <w:rPr>
          <w:rFonts w:hint="eastAsia" w:eastAsia="仿宋" w:cs="Times New Roman"/>
          <w:b/>
          <w:color w:val="auto"/>
          <w:sz w:val="28"/>
          <w:szCs w:val="28"/>
          <w:u w:val="single"/>
          <w:lang w:val="en-US" w:eastAsia="zh-CN"/>
        </w:rPr>
        <w:t>华润新能源（太原）有限公司</w:t>
      </w:r>
      <w:r>
        <w:rPr>
          <w:rFonts w:hint="eastAsia" w:eastAsia="仿宋"/>
          <w:b/>
          <w:color w:val="auto"/>
          <w:sz w:val="28"/>
          <w:szCs w:val="28"/>
          <w:u w:val="single"/>
          <w:lang w:val="en-US" w:eastAsia="zh-CN"/>
        </w:rPr>
        <w:t xml:space="preserve">                                </w:t>
      </w:r>
      <w:r>
        <w:rPr>
          <w:rFonts w:hint="eastAsia" w:eastAsia="仿宋"/>
          <w:b/>
          <w:color w:val="auto"/>
          <w:sz w:val="28"/>
          <w:szCs w:val="28"/>
          <w:u w:val="none"/>
          <w:lang w:val="en-US" w:eastAsia="zh-CN"/>
        </w:rPr>
        <w:t xml:space="preserve">                </w:t>
      </w:r>
    </w:p>
    <w:p>
      <w:pPr>
        <w:tabs>
          <w:tab w:val="left" w:pos="6758"/>
        </w:tabs>
        <w:spacing w:line="500" w:lineRule="exact"/>
        <w:jc w:val="both"/>
        <w:rPr>
          <w:rFonts w:eastAsia="仿宋"/>
          <w:b/>
          <w:color w:val="auto"/>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eastAsia="仿宋"/>
          <w:b/>
          <w:color w:val="auto"/>
          <w:sz w:val="28"/>
          <w:szCs w:val="28"/>
          <w:u w:val="none"/>
          <w:lang w:val="en-US" w:eastAsia="zh-CN"/>
        </w:rPr>
        <w:t xml:space="preserve">                      2022年8月</w:t>
      </w:r>
    </w:p>
    <w:p>
      <w:pPr>
        <w:spacing w:line="360" w:lineRule="auto"/>
        <w:ind w:firstLine="1405" w:firstLineChars="500"/>
        <w:rPr>
          <w:rFonts w:eastAsia="仿宋"/>
          <w:b/>
          <w:color w:val="auto"/>
          <w:sz w:val="28"/>
          <w:szCs w:val="28"/>
        </w:r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一、生产建设项目水土保持设施验收基本情况表</w:t>
      </w:r>
    </w:p>
    <w:tbl>
      <w:tblPr>
        <w:tblStyle w:val="9"/>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4772"/>
        <w:gridCol w:w="78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项目名称</w:t>
            </w:r>
          </w:p>
        </w:tc>
        <w:tc>
          <w:tcPr>
            <w:tcW w:w="4772"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华润新能源阳曲杨兴50MW风力发电项目</w:t>
            </w:r>
          </w:p>
        </w:tc>
        <w:tc>
          <w:tcPr>
            <w:tcW w:w="785"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行业类别</w:t>
            </w:r>
          </w:p>
        </w:tc>
        <w:tc>
          <w:tcPr>
            <w:tcW w:w="1121" w:type="dxa"/>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风力发电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主管部门</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（或主要投资方）</w:t>
            </w:r>
          </w:p>
        </w:tc>
        <w:tc>
          <w:tcPr>
            <w:tcW w:w="4772"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华润新能源（太原）有限公司</w:t>
            </w:r>
          </w:p>
        </w:tc>
        <w:tc>
          <w:tcPr>
            <w:tcW w:w="785"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项目性质</w:t>
            </w:r>
          </w:p>
        </w:tc>
        <w:tc>
          <w:tcPr>
            <w:tcW w:w="1121"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水土保持方案批准机关、文号及时间</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山西省水利厅  晋水保函</w:t>
            </w:r>
            <w:r>
              <w:rPr>
                <w:rFonts w:hint="eastAsia" w:ascii="仿宋" w:hAnsi="仿宋" w:eastAsia="仿宋" w:cs="仿宋"/>
                <w:vertAlign w:val="baseline"/>
                <w:lang w:eastAsia="zh-CN"/>
              </w:rPr>
              <w:t>[201</w:t>
            </w:r>
            <w:r>
              <w:rPr>
                <w:rFonts w:hint="eastAsia" w:ascii="仿宋" w:hAnsi="仿宋" w:eastAsia="仿宋" w:cs="仿宋"/>
                <w:vertAlign w:val="baseline"/>
                <w:lang w:val="en-US" w:eastAsia="zh-CN"/>
              </w:rPr>
              <w:t>6</w:t>
            </w:r>
            <w:r>
              <w:rPr>
                <w:rFonts w:hint="eastAsia" w:ascii="仿宋" w:hAnsi="仿宋" w:eastAsia="仿宋" w:cs="仿宋"/>
                <w:vertAlign w:val="baseline"/>
                <w:lang w:eastAsia="zh-CN"/>
              </w:rPr>
              <w:t>]</w:t>
            </w:r>
            <w:r>
              <w:rPr>
                <w:rFonts w:hint="eastAsia" w:ascii="仿宋" w:hAnsi="仿宋" w:eastAsia="仿宋" w:cs="仿宋"/>
                <w:vertAlign w:val="baseline"/>
                <w:lang w:val="en-US" w:eastAsia="zh-CN"/>
              </w:rPr>
              <w:t>634</w:t>
            </w:r>
            <w:r>
              <w:rPr>
                <w:rFonts w:hint="eastAsia" w:ascii="仿宋" w:hAnsi="仿宋" w:eastAsia="仿宋" w:cs="仿宋"/>
                <w:vertAlign w:val="baseline"/>
                <w:lang w:eastAsia="zh-CN"/>
              </w:rPr>
              <w:t>号</w:t>
            </w:r>
          </w:p>
          <w:p>
            <w:pPr>
              <w:jc w:val="center"/>
              <w:rPr>
                <w:rFonts w:hint="eastAsia" w:ascii="黑体" w:hAnsi="黑体" w:eastAsia="黑体" w:cs="黑体"/>
                <w:vertAlign w:val="baseline"/>
                <w:lang w:eastAsia="zh-CN"/>
              </w:rPr>
            </w:pPr>
            <w:r>
              <w:rPr>
                <w:rFonts w:hint="eastAsia" w:ascii="仿宋" w:hAnsi="仿宋" w:eastAsia="仿宋" w:cs="仿宋"/>
                <w:vertAlign w:val="baseline"/>
                <w:lang w:val="en-US" w:eastAsia="zh-CN"/>
              </w:rPr>
              <w:t>2016年8月9日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水土保持方案变更批准机关、文号及时间</w:t>
            </w:r>
          </w:p>
        </w:tc>
        <w:tc>
          <w:tcPr>
            <w:tcW w:w="6678" w:type="dxa"/>
            <w:gridSpan w:val="3"/>
            <w:vAlign w:val="center"/>
          </w:tcPr>
          <w:p>
            <w:pPr>
              <w:jc w:val="center"/>
              <w:rPr>
                <w:rFonts w:hint="eastAsia" w:ascii="仿宋" w:hAnsi="仿宋" w:eastAsia="仿宋" w:cs="仿宋"/>
                <w:vertAlign w:val="baseline"/>
                <w:lang w:val="en-US" w:eastAsia="zh-CN"/>
              </w:rPr>
            </w:pPr>
            <w:r>
              <w:rPr>
                <w:rFonts w:hint="eastAsia"/>
                <w:lang w:val="en-US" w:eastAsia="zh-CN"/>
              </w:rPr>
              <w:t xml:space="preserve">   </w:t>
            </w:r>
            <w:r>
              <w:rPr>
                <w:rFonts w:hint="eastAsia" w:ascii="仿宋" w:hAnsi="仿宋" w:eastAsia="仿宋" w:cs="仿宋"/>
                <w:vertAlign w:val="baseline"/>
                <w:lang w:val="en-US" w:eastAsia="zh-CN"/>
              </w:rPr>
              <w:t>山西省水利厅  晋水审批决[2019]149号</w:t>
            </w:r>
          </w:p>
          <w:p>
            <w:pPr>
              <w:jc w:val="center"/>
              <w:rPr>
                <w:rFonts w:hint="default"/>
                <w:lang w:val="en-US" w:eastAsia="zh-CN"/>
              </w:rPr>
            </w:pPr>
            <w:r>
              <w:rPr>
                <w:rFonts w:hint="eastAsia" w:ascii="仿宋" w:hAnsi="仿宋" w:eastAsia="仿宋" w:cs="仿宋"/>
                <w:vertAlign w:val="baseline"/>
                <w:lang w:val="en-US" w:eastAsia="zh-CN"/>
              </w:rPr>
              <w:t>2019年12月12日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水土保持初步设计批准机关、文号及时间</w:t>
            </w:r>
          </w:p>
        </w:tc>
        <w:tc>
          <w:tcPr>
            <w:tcW w:w="6678" w:type="dxa"/>
            <w:gridSpan w:val="3"/>
            <w:vAlign w:val="center"/>
          </w:tcPr>
          <w:p>
            <w:pPr>
              <w:keepNext w:val="0"/>
              <w:keepLines w:val="0"/>
              <w:widowControl/>
              <w:suppressLineNumbers w:val="0"/>
              <w:ind w:firstLine="3360" w:firstLineChars="1600"/>
              <w:jc w:val="left"/>
              <w:rPr>
                <w:rFonts w:hint="default" w:ascii="黑体" w:hAnsi="黑体" w:eastAsia="黑体" w:cs="黑体"/>
                <w:vertAlign w:val="baseline"/>
                <w:lang w:val="en-US" w:eastAsia="zh-CN"/>
              </w:rPr>
            </w:pPr>
            <w:r>
              <w:rPr>
                <w:rFonts w:hint="eastAsia" w:ascii="仿宋" w:hAnsi="仿宋" w:eastAsia="仿宋" w:cs="仿宋"/>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项目建设起止时间</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主体工程2019年8月-2020年10月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水土保持方案编制单位</w:t>
            </w:r>
          </w:p>
        </w:tc>
        <w:tc>
          <w:tcPr>
            <w:tcW w:w="6678" w:type="dxa"/>
            <w:gridSpan w:val="3"/>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大同市云泉生态科技有限责任公司</w:t>
            </w:r>
          </w:p>
          <w:p>
            <w:pPr>
              <w:jc w:val="center"/>
              <w:rPr>
                <w:rFonts w:hint="eastAsia"/>
                <w:lang w:eastAsia="zh-CN"/>
              </w:rPr>
            </w:pPr>
            <w:r>
              <w:rPr>
                <w:rFonts w:hint="eastAsia" w:ascii="仿宋" w:hAnsi="仿宋" w:eastAsia="仿宋" w:cs="仿宋"/>
                <w:vertAlign w:val="baseline"/>
                <w:lang w:val="en-US" w:eastAsia="zh-CN"/>
              </w:rPr>
              <w:t>北京云泉恒业科技</w:t>
            </w:r>
            <w:r>
              <w:rPr>
                <w:rFonts w:hint="default" w:ascii="仿宋" w:hAnsi="仿宋" w:eastAsia="仿宋" w:cs="仿宋"/>
                <w:vertAlign w:val="baseline"/>
                <w:lang w:val="en-US" w:eastAsia="zh-CN"/>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初步设计单位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深圳智润新能源电力勘测设计院有限公司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水土保持监测单位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山西省元方生态工程咨询有限公司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水土保持施工单位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华润新能源（太原）有限公司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水土保持监理单位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内蒙古弘泽水利工程建设监理有限公司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黑体" w:hAnsi="黑体" w:eastAsia="黑体" w:cs="黑体"/>
                <w:vertAlign w:val="baseline"/>
                <w:lang w:eastAsia="zh-CN"/>
              </w:rPr>
            </w:pPr>
            <w:r>
              <w:rPr>
                <w:rFonts w:hint="eastAsia" w:ascii="仿宋" w:hAnsi="仿宋" w:eastAsia="仿宋" w:cs="仿宋"/>
                <w:b/>
                <w:bCs/>
                <w:vertAlign w:val="baseline"/>
                <w:lang w:eastAsia="zh-CN"/>
              </w:rPr>
              <w:t>水土保持设施验收报告编制单位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山西元森科技有限公司</w:t>
            </w:r>
          </w:p>
        </w:tc>
      </w:tr>
    </w:tbl>
    <w:p>
      <w:pPr>
        <w:jc w:val="center"/>
        <w:rPr>
          <w:rFonts w:hint="eastAsia" w:ascii="黑体" w:hAnsi="黑体" w:eastAsia="黑体" w:cs="黑体"/>
          <w:lang w:eastAsia="zh-CN"/>
        </w:rPr>
        <w:sectPr>
          <w:pgSz w:w="11906" w:h="16838"/>
          <w:pgMar w:top="1440" w:right="1800" w:bottom="1440" w:left="1800" w:header="851" w:footer="992" w:gutter="0"/>
          <w:cols w:space="425" w:num="1"/>
          <w:docGrid w:type="lines" w:linePitch="312" w:charSpace="0"/>
        </w:sectPr>
      </w:pPr>
    </w:p>
    <w:p>
      <w:pPr>
        <w:numPr>
          <w:ilvl w:val="0"/>
          <w:numId w:val="1"/>
        </w:num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验收意见</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水利部关于加强事中事后监管规范生产建设项目水土保持设施自主验收的通知》中关于“落实生产建设单位主体责任，规范生产建设项目水土保持设施自主验收”的有关规定，华润新能源（太原）有限公司于2022年8月20日在本单位会议室主持召开了华润新能源阳曲杨兴50MW风力发电项目水土保持设施验收会议，参加会议的有华润新能源（太原）有限公司、山西省元方生态工程咨询有限公司、内蒙古弘泽水利工程建设监理有限公司、山西元森科技有限公司等单位的领导和代表，会议成立了专家组（名单附后），专家组成员及有关单位代表实地查看了项目建设现场，听取了建设单位、监理单位及监测单位关于水土保持设施建设、监理情况和监测情况的汇报，经讨论形成验收意见如下：</w:t>
      </w:r>
    </w:p>
    <w:p>
      <w:pPr>
        <w:ind w:left="-178" w:leftChars="-85" w:right="-315" w:rightChars="-150" w:firstLine="840" w:firstLineChars="300"/>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（一）项目概况</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b w:val="0"/>
          <w:bCs/>
          <w:color w:val="auto"/>
          <w:sz w:val="28"/>
          <w:szCs w:val="28"/>
          <w:lang w:val="en-US" w:eastAsia="zh-CN"/>
        </w:rPr>
        <w:t>华润新能源阳曲杨兴50MW风力发电项目位于</w:t>
      </w:r>
      <w:r>
        <w:rPr>
          <w:rFonts w:hint="default" w:ascii="仿宋" w:hAnsi="仿宋" w:eastAsia="仿宋" w:cs="仿宋"/>
          <w:b w:val="0"/>
          <w:bCs/>
          <w:color w:val="auto"/>
          <w:sz w:val="28"/>
          <w:szCs w:val="28"/>
          <w:lang w:val="en-GB" w:eastAsia="zh-CN"/>
        </w:rPr>
        <w:t>位于山西省太原市阳曲县东北方向，距阳曲县城约32km处，风电场位于阳曲县</w:t>
      </w:r>
      <w:r>
        <w:rPr>
          <w:rFonts w:hint="eastAsia" w:ascii="仿宋" w:hAnsi="仿宋" w:eastAsia="仿宋" w:cs="仿宋"/>
          <w:b w:val="0"/>
          <w:bCs/>
          <w:color w:val="auto"/>
          <w:sz w:val="28"/>
          <w:szCs w:val="28"/>
          <w:lang w:val="en-GB" w:eastAsia="zh-CN"/>
        </w:rPr>
        <w:t>和</w:t>
      </w:r>
      <w:r>
        <w:rPr>
          <w:rFonts w:hint="default" w:ascii="仿宋" w:hAnsi="仿宋" w:eastAsia="仿宋" w:cs="仿宋"/>
          <w:b w:val="0"/>
          <w:bCs/>
          <w:color w:val="auto"/>
          <w:sz w:val="28"/>
          <w:szCs w:val="28"/>
          <w:lang w:val="en-GB" w:eastAsia="zh-CN"/>
        </w:rPr>
        <w:t>定襄县的交界。风电场坐标间于东经112°45′～113°09′，北纬38°11′～38°25′之间，项目区距离</w:t>
      </w:r>
      <w:r>
        <w:rPr>
          <w:rFonts w:hint="default" w:ascii="仿宋" w:hAnsi="仿宋" w:eastAsia="仿宋" w:cs="仿宋"/>
          <w:b w:val="0"/>
          <w:bCs/>
          <w:color w:val="auto"/>
          <w:sz w:val="28"/>
          <w:szCs w:val="28"/>
          <w:lang w:val="en-US" w:eastAsia="zh-CN"/>
        </w:rPr>
        <w:t>224县道2.21公里</w:t>
      </w:r>
      <w:r>
        <w:rPr>
          <w:rFonts w:hint="eastAsia" w:ascii="仿宋" w:hAnsi="仿宋" w:eastAsia="仿宋" w:cs="仿宋"/>
          <w:b w:val="0"/>
          <w:bCs/>
          <w:color w:val="auto"/>
          <w:sz w:val="28"/>
          <w:szCs w:val="28"/>
          <w:lang w:val="en-US" w:eastAsia="zh-CN"/>
        </w:rPr>
        <w:t>，</w:t>
      </w:r>
      <w:r>
        <w:rPr>
          <w:rFonts w:hint="eastAsia" w:ascii="仿宋" w:hAnsi="仿宋" w:eastAsia="仿宋" w:cs="仿宋"/>
          <w:sz w:val="28"/>
          <w:szCs w:val="28"/>
          <w:lang w:val="en-US" w:eastAsia="zh-CN"/>
        </w:rPr>
        <w:t>风电场范围内的村庄之间均有村村通道路相通，交通便利。</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zh-CN" w:eastAsia="zh-CN"/>
        </w:rPr>
        <w:t>根据</w:t>
      </w:r>
      <w:r>
        <w:rPr>
          <w:rFonts w:hint="eastAsia" w:ascii="仿宋" w:hAnsi="仿宋" w:eastAsia="仿宋" w:cs="仿宋"/>
          <w:sz w:val="28"/>
          <w:szCs w:val="28"/>
          <w:lang w:val="en-US" w:eastAsia="zh-CN"/>
        </w:rPr>
        <w:t>山西省发展和改革委员会，晋发改新能源发【2016】996号文，本项目已进行备案，同意建设该项目。本项目总占地面积41.95hm²，本项目装机容量为50MW，安装20台单机容量为2000kW风电机组，每台机组配一台箱式变压器；新建220KV升压变电站1座。</w:t>
      </w:r>
    </w:p>
    <w:p>
      <w:pPr>
        <w:keepNext w:val="0"/>
        <w:keepLines w:val="0"/>
        <w:widowControl/>
        <w:suppressLineNumbers w:val="0"/>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本项目静态投资为38557.81万元，其中土建投资5132.32万元。建设单位为华润新能源（太原）有限公司。</w:t>
      </w:r>
    </w:p>
    <w:p>
      <w:pPr>
        <w:keepNext w:val="0"/>
        <w:keepLines w:val="0"/>
        <w:widowControl/>
        <w:suppressLineNumbers w:val="0"/>
        <w:ind w:firstLine="560" w:firstLineChars="200"/>
        <w:jc w:val="left"/>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水土保持方案批复情况</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2016年7月，建设单位委托大同市云泉生态科技有限责任公司编制《华润新能源阳曲杨兴50MW风力发电项目水土保持方案报告书》;山西省水利厅于2016年8月9日以“晋水保函[2016]634号”文对方案报告书进行了批复。</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项目由于协调征占地的问题</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项目区风机箱变防治区风机的数量、位置与占地面积、输电线路防治区的占地面积以及道路工程区道路的建设情况和规模发生了变化，所以在原水保方案未未开工的情况下就发生了变更，原先水保方案里面的水土保持措施</w:t>
      </w:r>
      <w:r>
        <w:rPr>
          <w:rFonts w:hint="eastAsia" w:ascii="仿宋" w:hAnsi="仿宋" w:eastAsia="仿宋" w:cs="仿宋"/>
          <w:sz w:val="28"/>
          <w:szCs w:val="28"/>
          <w:lang w:val="en-US" w:eastAsia="zh-CN"/>
        </w:rPr>
        <w:t>设计</w:t>
      </w:r>
      <w:r>
        <w:rPr>
          <w:rFonts w:hint="default" w:ascii="仿宋" w:hAnsi="仿宋" w:eastAsia="仿宋" w:cs="仿宋"/>
          <w:sz w:val="28"/>
          <w:szCs w:val="28"/>
          <w:lang w:val="en-US" w:eastAsia="zh-CN"/>
        </w:rPr>
        <w:t>需要作出相应的调整</w:t>
      </w:r>
      <w:r>
        <w:rPr>
          <w:rFonts w:hint="eastAsia" w:ascii="仿宋" w:hAnsi="仿宋" w:eastAsia="仿宋" w:cs="仿宋"/>
          <w:sz w:val="28"/>
          <w:szCs w:val="28"/>
          <w:lang w:val="en-US" w:eastAsia="zh-CN"/>
        </w:rPr>
        <w:t>。</w:t>
      </w:r>
    </w:p>
    <w:p>
      <w:pPr>
        <w:keepNext w:val="0"/>
        <w:keepLines w:val="0"/>
        <w:widowControl/>
        <w:suppressLineNumbers w:val="0"/>
        <w:ind w:firstLine="560" w:firstLineChars="200"/>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华润新能源（太原）有限公司于2019年8月委托</w:t>
      </w:r>
      <w:r>
        <w:rPr>
          <w:rFonts w:hint="eastAsia" w:ascii="仿宋" w:hAnsi="仿宋" w:eastAsia="仿宋" w:cs="仿宋"/>
          <w:sz w:val="28"/>
          <w:szCs w:val="28"/>
          <w:lang w:val="en-US" w:eastAsia="zh-CN"/>
        </w:rPr>
        <w:t>北京云泉恒业科技</w:t>
      </w:r>
      <w:r>
        <w:rPr>
          <w:rFonts w:hint="default" w:ascii="仿宋" w:hAnsi="仿宋" w:eastAsia="仿宋" w:cs="仿宋"/>
          <w:sz w:val="28"/>
          <w:szCs w:val="28"/>
          <w:lang w:val="en-US" w:eastAsia="zh-CN"/>
        </w:rPr>
        <w:t>有限责任公司编制</w:t>
      </w:r>
      <w:r>
        <w:rPr>
          <w:rFonts w:hint="eastAsia" w:ascii="仿宋" w:hAnsi="仿宋" w:eastAsia="仿宋" w:cs="仿宋"/>
          <w:sz w:val="28"/>
          <w:szCs w:val="28"/>
          <w:lang w:val="en-US" w:eastAsia="zh-CN"/>
        </w:rPr>
        <w:t>了</w:t>
      </w:r>
      <w:r>
        <w:rPr>
          <w:rFonts w:hint="default" w:ascii="仿宋" w:hAnsi="仿宋" w:eastAsia="仿宋" w:cs="仿宋"/>
          <w:sz w:val="28"/>
          <w:szCs w:val="28"/>
          <w:lang w:val="en-US" w:eastAsia="zh-CN"/>
        </w:rPr>
        <w:t>《华润新能源阳曲杨兴50MW风力发电项目水土保持方案变更报告书》</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于2019年</w:t>
      </w:r>
      <w:r>
        <w:rPr>
          <w:rFonts w:hint="eastAsia" w:ascii="仿宋" w:hAnsi="仿宋" w:eastAsia="仿宋" w:cs="仿宋"/>
          <w:sz w:val="28"/>
          <w:szCs w:val="28"/>
          <w:lang w:val="en-US" w:eastAsia="zh-CN"/>
        </w:rPr>
        <w:t>11</w:t>
      </w:r>
      <w:r>
        <w:rPr>
          <w:rFonts w:hint="default" w:ascii="仿宋" w:hAnsi="仿宋" w:eastAsia="仿宋" w:cs="仿宋"/>
          <w:sz w:val="28"/>
          <w:szCs w:val="28"/>
          <w:lang w:val="en-US" w:eastAsia="zh-CN"/>
        </w:rPr>
        <w:t>月完成了变更报告书的编制。201</w:t>
      </w:r>
      <w:r>
        <w:rPr>
          <w:rFonts w:hint="eastAsia" w:ascii="仿宋" w:hAnsi="仿宋" w:eastAsia="仿宋" w:cs="仿宋"/>
          <w:sz w:val="28"/>
          <w:szCs w:val="28"/>
          <w:lang w:val="en-US" w:eastAsia="zh-CN"/>
        </w:rPr>
        <w:t>9</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12</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12</w:t>
      </w:r>
      <w:r>
        <w:rPr>
          <w:rFonts w:hint="default" w:ascii="仿宋" w:hAnsi="仿宋" w:eastAsia="仿宋" w:cs="仿宋"/>
          <w:sz w:val="28"/>
          <w:szCs w:val="28"/>
          <w:lang w:val="en-US" w:eastAsia="zh-CN"/>
        </w:rPr>
        <w:t>日山西省水利厅以</w:t>
      </w:r>
      <w:r>
        <w:rPr>
          <w:rFonts w:hint="eastAsia" w:ascii="仿宋" w:hAnsi="仿宋" w:eastAsia="仿宋" w:cs="仿宋"/>
          <w:sz w:val="28"/>
          <w:szCs w:val="28"/>
          <w:lang w:val="en-US" w:eastAsia="zh-CN"/>
        </w:rPr>
        <w:t>晋水审批决[2019]149号文</w:t>
      </w:r>
      <w:r>
        <w:rPr>
          <w:rFonts w:hint="default" w:ascii="仿宋" w:hAnsi="仿宋" w:eastAsia="仿宋" w:cs="仿宋"/>
          <w:sz w:val="28"/>
          <w:szCs w:val="28"/>
          <w:lang w:val="en-US" w:eastAsia="zh-CN"/>
        </w:rPr>
        <w:t>对该水土保持</w:t>
      </w:r>
      <w:r>
        <w:rPr>
          <w:rFonts w:hint="eastAsia" w:ascii="仿宋" w:hAnsi="仿宋" w:eastAsia="仿宋" w:cs="仿宋"/>
          <w:sz w:val="28"/>
          <w:szCs w:val="28"/>
          <w:lang w:val="en-US" w:eastAsia="zh-CN"/>
        </w:rPr>
        <w:t>变更</w:t>
      </w:r>
      <w:r>
        <w:rPr>
          <w:rFonts w:hint="default" w:ascii="仿宋" w:hAnsi="仿宋" w:eastAsia="仿宋" w:cs="仿宋"/>
          <w:sz w:val="28"/>
          <w:szCs w:val="28"/>
          <w:lang w:val="en-US" w:eastAsia="zh-CN"/>
        </w:rPr>
        <w:t>方案进行了批复。</w:t>
      </w:r>
    </w:p>
    <w:p>
      <w:pPr>
        <w:spacing w:line="360" w:lineRule="auto"/>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（三）水土保持初步设计或施工图设计情况</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2019年4月,华润新能源（太原）有限公司委托深圳智润新能源电力勘测设计院有限公司编制完成了《华润新能源阳曲杨兴50MW风力发电项目初步设计报告》。</w:t>
      </w:r>
    </w:p>
    <w:p>
      <w:pPr>
        <w:pStyle w:val="2"/>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2021年8月，华林中创建筑规划设计有限公司设计了华润新能源阳曲杨兴50MW风力发电项目生态恢复工程施工图。</w:t>
      </w:r>
    </w:p>
    <w:p>
      <w:pPr>
        <w:numPr>
          <w:ilvl w:val="0"/>
          <w:numId w:val="2"/>
        </w:numPr>
        <w:spacing w:line="360" w:lineRule="auto"/>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水土保持监测情况</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3月，华润新能源（太原）有限公司委托山西省元方生态工程咨询有限公司开展该项目的监测工作。接受委托后，山西省元方生态工程咨询有限公司立即成立监测小组，对该项目开展水土保持监测工作，并与2022年7月完成了《华润新能源阳曲杨兴50MW风力发电项目水土保持监测总结报告》。水土保持监测结果如下：本项目建设期水土流失防治责任范围为41.95hm²，建设期西北黄土高原区防治责任范围内水土流失治理度达到97.96%,水土流失控制1.0,表土保护率95%，渣土防护率达98%,林草植被恢复</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达到97%,植被覆盖</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达到41.50%。北方土石山区防治责任范围内水土流失治理度达到99.52%,水土流失控制1.0,表土保护率95%，渣土防护率达98%,林草植被恢复</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达到99%,植被覆盖</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达到35.96%,达到了《生产建设项目水土流失防治标准》（GB50433-2018）确定的水土保持防治目标。水土保持工程整体运行情况良好，可以交付使用，水土流失治理效果明显，基本达到水土保持专项验收的条件。</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（五）验收报告编制情况和主要结论</w:t>
      </w:r>
    </w:p>
    <w:p>
      <w:pPr>
        <w:numPr>
          <w:ilvl w:val="0"/>
          <w:numId w:val="0"/>
        </w:numPr>
        <w:spacing w:line="360" w:lineRule="auto"/>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润新能源（太原）有限公司委托山西元森科技有限公司编制《华润新能源阳曲杨兴50MW风力发电项目水土保持设施验收报告》。接受委托后，山西元森科技有限公司立即开展工作，并于2022年8月完成了《华润新能源阳曲杨兴50MW风力发电项目水土保持设施验收报告》。该项目在建设过程中实施了表土剥离、全面整地、截排水、绿化及临时拦挡等水土保持措施，主要完成的水土保持工程量包括：</w:t>
      </w:r>
    </w:p>
    <w:p>
      <w:pPr>
        <w:pStyle w:val="2"/>
        <w:ind w:firstLine="1970" w:firstLineChars="701"/>
        <w:jc w:val="both"/>
        <w:rPr>
          <w:b/>
          <w:bCs/>
        </w:rPr>
      </w:pPr>
      <w:r>
        <w:rPr>
          <w:rFonts w:hint="eastAsia" w:ascii="仿宋" w:hAnsi="仿宋" w:cs="仿宋"/>
          <w:b/>
          <w:bCs/>
          <w:sz w:val="28"/>
          <w:szCs w:val="28"/>
          <w:lang w:val="en-US" w:eastAsia="zh-CN"/>
        </w:rPr>
        <w:t>水土保持工程措施完成情况表</w:t>
      </w:r>
    </w:p>
    <w:tbl>
      <w:tblPr>
        <w:tblStyle w:val="8"/>
        <w:tblW w:w="46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3466"/>
        <w:gridCol w:w="759"/>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69"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防治分区</w:t>
            </w:r>
          </w:p>
        </w:tc>
        <w:tc>
          <w:tcPr>
            <w:tcW w:w="2183"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措施类型</w:t>
            </w:r>
          </w:p>
        </w:tc>
        <w:tc>
          <w:tcPr>
            <w:tcW w:w="47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单位</w:t>
            </w:r>
          </w:p>
        </w:tc>
        <w:tc>
          <w:tcPr>
            <w:tcW w:w="968" w:type="pct"/>
            <w:noWrap/>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69"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风机箱变</w:t>
            </w:r>
            <w:r>
              <w:rPr>
                <w:rFonts w:hint="eastAsia" w:ascii="宋体" w:hAnsi="宋体" w:cs="宋体"/>
                <w:kern w:val="0"/>
                <w:sz w:val="20"/>
                <w:szCs w:val="20"/>
              </w:rPr>
              <w:t>防治区</w:t>
            </w:r>
          </w:p>
        </w:tc>
        <w:tc>
          <w:tcPr>
            <w:tcW w:w="2183" w:type="pct"/>
            <w:noWrap/>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表土剥离</w:t>
            </w:r>
          </w:p>
        </w:tc>
        <w:tc>
          <w:tcPr>
            <w:tcW w:w="478" w:type="pct"/>
            <w:noWrap/>
            <w:vAlign w:val="bottom"/>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m³</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69" w:type="pct"/>
            <w:vMerge w:val="continue"/>
            <w:noWrap/>
            <w:vAlign w:val="center"/>
          </w:tcPr>
          <w:p>
            <w:pPr>
              <w:widowControl/>
              <w:jc w:val="center"/>
              <w:rPr>
                <w:rFonts w:hint="eastAsia" w:ascii="宋体" w:hAnsi="宋体" w:cs="宋体"/>
                <w:kern w:val="0"/>
                <w:sz w:val="20"/>
                <w:szCs w:val="20"/>
                <w:lang w:eastAsia="zh-CN"/>
              </w:rPr>
            </w:pPr>
          </w:p>
        </w:tc>
        <w:tc>
          <w:tcPr>
            <w:tcW w:w="2183" w:type="pct"/>
            <w:noWrap/>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表土回覆</w:t>
            </w:r>
          </w:p>
        </w:tc>
        <w:tc>
          <w:tcPr>
            <w:tcW w:w="478" w:type="pct"/>
            <w:noWrap/>
            <w:vAlign w:val="bottom"/>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m³</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69" w:type="pct"/>
            <w:vMerge w:val="continue"/>
            <w:noWrap/>
            <w:vAlign w:val="center"/>
          </w:tcPr>
          <w:p>
            <w:pPr>
              <w:widowControl/>
              <w:jc w:val="center"/>
              <w:rPr>
                <w:rFonts w:hint="eastAsia" w:ascii="宋体" w:hAnsi="宋体" w:cs="宋体"/>
                <w:kern w:val="0"/>
                <w:sz w:val="20"/>
                <w:szCs w:val="20"/>
                <w:lang w:eastAsia="zh-CN"/>
              </w:rPr>
            </w:pPr>
          </w:p>
        </w:tc>
        <w:tc>
          <w:tcPr>
            <w:tcW w:w="2183" w:type="pct"/>
            <w:noWrap/>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土地平整</w:t>
            </w:r>
          </w:p>
        </w:tc>
        <w:tc>
          <w:tcPr>
            <w:tcW w:w="478" w:type="pct"/>
            <w:noWrap/>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hm²</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升压站</w:t>
            </w:r>
            <w:r>
              <w:rPr>
                <w:rFonts w:hint="eastAsia" w:ascii="宋体" w:hAnsi="宋体" w:cs="宋体"/>
                <w:kern w:val="0"/>
                <w:sz w:val="20"/>
                <w:szCs w:val="20"/>
              </w:rPr>
              <w:t>防治区</w:t>
            </w:r>
          </w:p>
        </w:tc>
        <w:tc>
          <w:tcPr>
            <w:tcW w:w="2183" w:type="pct"/>
            <w:noWrap w:val="0"/>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排水沟</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km</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hint="eastAsia" w:ascii="宋体" w:hAnsi="宋体" w:cs="宋体"/>
                <w:kern w:val="0"/>
                <w:sz w:val="20"/>
                <w:szCs w:val="20"/>
              </w:rPr>
            </w:pPr>
          </w:p>
        </w:tc>
        <w:tc>
          <w:tcPr>
            <w:tcW w:w="2183" w:type="pct"/>
            <w:noWrap w:val="0"/>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表土剥离</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hint="eastAsia" w:ascii="宋体" w:hAnsi="宋体" w:cs="宋体"/>
                <w:kern w:val="0"/>
                <w:sz w:val="20"/>
                <w:szCs w:val="20"/>
              </w:rPr>
            </w:pPr>
          </w:p>
        </w:tc>
        <w:tc>
          <w:tcPr>
            <w:tcW w:w="2183" w:type="pct"/>
            <w:noWrap w:val="0"/>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表土回覆</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restart"/>
            <w:noWrap/>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eastAsia="zh-CN"/>
              </w:rPr>
              <w:t>输电线路防治区</w:t>
            </w:r>
          </w:p>
        </w:tc>
        <w:tc>
          <w:tcPr>
            <w:tcW w:w="2183" w:type="pct"/>
            <w:noWrap w:val="0"/>
            <w:vAlign w:val="center"/>
          </w:tcPr>
          <w:p>
            <w:pPr>
              <w:jc w:val="center"/>
              <w:rPr>
                <w:rFonts w:hint="eastAsia" w:ascii="宋体" w:hAnsi="宋体" w:cs="宋体"/>
                <w:kern w:val="0"/>
                <w:sz w:val="20"/>
                <w:szCs w:val="20"/>
                <w:lang w:eastAsia="zh-CN"/>
              </w:rPr>
            </w:pPr>
            <w:r>
              <w:rPr>
                <w:rFonts w:hint="eastAsia" w:ascii="Times New Roman" w:hAnsi="Times New Roman" w:eastAsia="仿宋_GB2312" w:cs="Times New Roman"/>
                <w:color w:val="000000"/>
                <w:kern w:val="2"/>
                <w:sz w:val="21"/>
                <w:szCs w:val="21"/>
                <w:lang w:val="en-US" w:eastAsia="zh-CN" w:bidi="ar-SA"/>
              </w:rPr>
              <w:t>表土剥离</w:t>
            </w:r>
          </w:p>
        </w:tc>
        <w:tc>
          <w:tcPr>
            <w:tcW w:w="478" w:type="pc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m³</w:t>
            </w:r>
          </w:p>
        </w:tc>
        <w:tc>
          <w:tcPr>
            <w:tcW w:w="968" w:type="pct"/>
            <w:noWrap/>
            <w:vAlign w:val="center"/>
          </w:tcPr>
          <w:p>
            <w:pPr>
              <w:widowControl/>
              <w:jc w:val="center"/>
              <w:rPr>
                <w:rFonts w:hint="default" w:ascii="宋体" w:hAnsi="宋体" w:eastAsia="宋体" w:cs="宋体"/>
                <w:kern w:val="0"/>
                <w:sz w:val="20"/>
                <w:szCs w:val="20"/>
                <w:lang w:val="en-US" w:eastAsia="zh-CN"/>
              </w:rPr>
            </w:pPr>
            <w:r>
              <w:rPr>
                <w:rFonts w:hint="default" w:ascii="宋体" w:hAnsi="宋体" w:cs="宋体"/>
                <w:kern w:val="0"/>
                <w:sz w:val="20"/>
                <w:szCs w:val="20"/>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hint="eastAsia" w:ascii="宋体" w:hAnsi="宋体" w:cs="宋体"/>
                <w:kern w:val="0"/>
                <w:sz w:val="20"/>
                <w:szCs w:val="20"/>
              </w:rPr>
            </w:pPr>
          </w:p>
        </w:tc>
        <w:tc>
          <w:tcPr>
            <w:tcW w:w="2183" w:type="pct"/>
            <w:noWrap w:val="0"/>
            <w:vAlign w:val="center"/>
          </w:tcPr>
          <w:p>
            <w:pPr>
              <w:jc w:val="center"/>
              <w:rPr>
                <w:rFonts w:hint="eastAsia" w:ascii="宋体" w:hAnsi="宋体" w:cs="宋体"/>
                <w:kern w:val="0"/>
                <w:sz w:val="20"/>
                <w:szCs w:val="20"/>
                <w:lang w:eastAsia="zh-CN"/>
              </w:rPr>
            </w:pPr>
            <w:r>
              <w:rPr>
                <w:rFonts w:hint="eastAsia" w:ascii="Times New Roman" w:hAnsi="Times New Roman" w:eastAsia="仿宋_GB2312" w:cs="Times New Roman"/>
                <w:color w:val="000000"/>
                <w:kern w:val="2"/>
                <w:sz w:val="21"/>
                <w:szCs w:val="21"/>
                <w:lang w:val="en-US" w:eastAsia="zh-CN" w:bidi="ar-SA"/>
              </w:rPr>
              <w:t>表土回覆</w:t>
            </w:r>
          </w:p>
        </w:tc>
        <w:tc>
          <w:tcPr>
            <w:tcW w:w="478" w:type="pc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m³</w:t>
            </w:r>
          </w:p>
        </w:tc>
        <w:tc>
          <w:tcPr>
            <w:tcW w:w="968" w:type="pct"/>
            <w:noWrap/>
            <w:vAlign w:val="center"/>
          </w:tcPr>
          <w:p>
            <w:pPr>
              <w:widowControl/>
              <w:jc w:val="center"/>
              <w:rPr>
                <w:rFonts w:hint="default" w:ascii="宋体" w:hAnsi="宋体" w:eastAsia="宋体" w:cs="宋体"/>
                <w:kern w:val="0"/>
                <w:sz w:val="20"/>
                <w:szCs w:val="20"/>
                <w:lang w:val="en-US" w:eastAsia="zh-CN"/>
              </w:rPr>
            </w:pPr>
            <w:r>
              <w:rPr>
                <w:rFonts w:hint="default" w:ascii="宋体" w:hAnsi="宋体" w:cs="宋体"/>
                <w:kern w:val="0"/>
                <w:sz w:val="20"/>
                <w:szCs w:val="20"/>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hint="eastAsia" w:ascii="宋体" w:hAnsi="宋体" w:cs="宋体"/>
                <w:kern w:val="0"/>
                <w:sz w:val="20"/>
                <w:szCs w:val="20"/>
              </w:rPr>
            </w:pPr>
          </w:p>
        </w:tc>
        <w:tc>
          <w:tcPr>
            <w:tcW w:w="2183" w:type="pct"/>
            <w:noWrap w:val="0"/>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截水沟</w:t>
            </w:r>
          </w:p>
        </w:tc>
        <w:tc>
          <w:tcPr>
            <w:tcW w:w="478" w:type="pct"/>
            <w:noWrap w:val="0"/>
            <w:vAlign w:val="bottom"/>
          </w:tcPr>
          <w:p>
            <w:pPr>
              <w:widowControl/>
              <w:jc w:val="center"/>
              <w:rPr>
                <w:rFonts w:hint="eastAsia" w:ascii="宋体" w:hAnsi="宋体" w:cs="宋体"/>
                <w:kern w:val="0"/>
                <w:sz w:val="20"/>
                <w:szCs w:val="20"/>
              </w:rPr>
            </w:pPr>
            <w:r>
              <w:rPr>
                <w:rFonts w:hint="eastAsia" w:ascii="宋体" w:hAnsi="宋体" w:cs="宋体"/>
                <w:kern w:val="0"/>
                <w:sz w:val="20"/>
                <w:szCs w:val="20"/>
              </w:rPr>
              <w:t>m</w:t>
            </w:r>
          </w:p>
        </w:tc>
        <w:tc>
          <w:tcPr>
            <w:tcW w:w="968" w:type="pct"/>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hint="eastAsia" w:ascii="宋体" w:hAnsi="宋体" w:cs="宋体"/>
                <w:kern w:val="0"/>
                <w:sz w:val="20"/>
                <w:szCs w:val="20"/>
              </w:rPr>
            </w:pPr>
          </w:p>
        </w:tc>
        <w:tc>
          <w:tcPr>
            <w:tcW w:w="2183" w:type="pct"/>
            <w:noWrap w:val="0"/>
            <w:vAlign w:val="center"/>
          </w:tcPr>
          <w:p>
            <w:pPr>
              <w:jc w:val="center"/>
              <w:rPr>
                <w:rFonts w:hint="eastAsia" w:ascii="宋体" w:hAnsi="宋体" w:cs="宋体"/>
                <w:kern w:val="0"/>
                <w:sz w:val="20"/>
                <w:szCs w:val="20"/>
              </w:rPr>
            </w:pPr>
            <w:r>
              <w:rPr>
                <w:rFonts w:hint="eastAsia" w:ascii="Times New Roman" w:hAnsi="Times New Roman" w:eastAsia="仿宋_GB2312" w:cs="Times New Roman"/>
                <w:color w:val="000000"/>
                <w:kern w:val="2"/>
                <w:sz w:val="21"/>
                <w:szCs w:val="21"/>
                <w:lang w:val="en-US" w:eastAsia="zh-CN" w:bidi="ar-SA"/>
              </w:rPr>
              <w:t>土地平整</w:t>
            </w:r>
          </w:p>
        </w:tc>
        <w:tc>
          <w:tcPr>
            <w:tcW w:w="478" w:type="pct"/>
            <w:noWrap w:val="0"/>
            <w:vAlign w:val="bottom"/>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hm²</w:t>
            </w:r>
          </w:p>
        </w:tc>
        <w:tc>
          <w:tcPr>
            <w:tcW w:w="968"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restart"/>
            <w:noWrap w:val="0"/>
            <w:vAlign w:val="center"/>
          </w:tcPr>
          <w:p>
            <w:pPr>
              <w:widowControl/>
              <w:jc w:val="center"/>
              <w:rPr>
                <w:rFonts w:hint="eastAsia" w:eastAsia="仿宋_GB2312"/>
                <w:kern w:val="0"/>
                <w:szCs w:val="21"/>
                <w:lang w:eastAsia="zh-CN"/>
              </w:rPr>
            </w:pPr>
            <w:r>
              <w:rPr>
                <w:rFonts w:hint="eastAsia" w:eastAsia="仿宋_GB2312"/>
                <w:kern w:val="0"/>
                <w:szCs w:val="21"/>
                <w:lang w:eastAsia="zh-CN"/>
              </w:rPr>
              <w:t>道路工程防治区</w:t>
            </w:r>
          </w:p>
        </w:tc>
        <w:tc>
          <w:tcPr>
            <w:tcW w:w="2183" w:type="pc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排水沟</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m</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排水沟出水口顺接工程</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处</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jc w:val="center"/>
              <w:rPr>
                <w:rFonts w:hint="eastAsia" w:ascii="宋体" w:hAnsi="宋体" w:cs="宋体"/>
                <w:kern w:val="0"/>
                <w:sz w:val="20"/>
                <w:szCs w:val="20"/>
                <w:lang w:eastAsia="zh-CN"/>
              </w:rPr>
            </w:pPr>
            <w:r>
              <w:rPr>
                <w:rFonts w:hint="eastAsia" w:ascii="Times New Roman" w:hAnsi="Times New Roman" w:eastAsia="仿宋_GB2312" w:cs="Times New Roman"/>
                <w:color w:val="000000"/>
                <w:kern w:val="2"/>
                <w:sz w:val="21"/>
                <w:szCs w:val="21"/>
                <w:lang w:val="en-US" w:eastAsia="zh-CN" w:bidi="ar-SA"/>
              </w:rPr>
              <w:t>上边坡浆砌石护坡</w:t>
            </w:r>
          </w:p>
        </w:tc>
        <w:tc>
          <w:tcPr>
            <w:tcW w:w="478" w:type="pct"/>
            <w:noWrap w:val="0"/>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m</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jc w:val="center"/>
              <w:rPr>
                <w:rFonts w:hint="eastAsia" w:ascii="宋体" w:hAnsi="宋体" w:cs="宋体"/>
                <w:kern w:val="0"/>
                <w:sz w:val="20"/>
                <w:szCs w:val="20"/>
                <w:lang w:eastAsia="zh-CN"/>
              </w:rPr>
            </w:pPr>
            <w:r>
              <w:rPr>
                <w:rFonts w:hint="eastAsia" w:ascii="Times New Roman" w:hAnsi="Times New Roman" w:eastAsia="仿宋_GB2312" w:cs="Times New Roman"/>
                <w:color w:val="000000"/>
                <w:kern w:val="2"/>
                <w:sz w:val="21"/>
                <w:szCs w:val="21"/>
                <w:lang w:val="en-US" w:eastAsia="zh-CN" w:bidi="ar-SA"/>
              </w:rPr>
              <w:t>下边坡浆砌石防护</w:t>
            </w:r>
          </w:p>
        </w:tc>
        <w:tc>
          <w:tcPr>
            <w:tcW w:w="478" w:type="pct"/>
            <w:noWrap w:val="0"/>
            <w:vAlign w:val="bottom"/>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jc w:val="center"/>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表土剥离</w:t>
            </w:r>
          </w:p>
        </w:tc>
        <w:tc>
          <w:tcPr>
            <w:tcW w:w="478" w:type="pct"/>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eastAsia="zh-CN"/>
              </w:rPr>
              <w:t>m³</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jc w:val="center"/>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表土回覆</w:t>
            </w:r>
          </w:p>
        </w:tc>
        <w:tc>
          <w:tcPr>
            <w:tcW w:w="478" w:type="pct"/>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eastAsia="zh-CN"/>
              </w:rPr>
              <w:t>m³</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69" w:type="pct"/>
            <w:vMerge w:val="continue"/>
            <w:noWrap w:val="0"/>
            <w:vAlign w:val="center"/>
          </w:tcPr>
          <w:p>
            <w:pPr>
              <w:widowControl/>
              <w:jc w:val="center"/>
              <w:rPr>
                <w:rFonts w:eastAsia="仿宋_GB2312"/>
                <w:kern w:val="0"/>
                <w:szCs w:val="21"/>
              </w:rPr>
            </w:pPr>
          </w:p>
        </w:tc>
        <w:tc>
          <w:tcPr>
            <w:tcW w:w="2183" w:type="pct"/>
            <w:noWrap w:val="0"/>
            <w:vAlign w:val="center"/>
          </w:tcPr>
          <w:p>
            <w:pPr>
              <w:jc w:val="center"/>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土地平整</w:t>
            </w:r>
          </w:p>
        </w:tc>
        <w:tc>
          <w:tcPr>
            <w:tcW w:w="478" w:type="pct"/>
            <w:noWrap w:val="0"/>
            <w:vAlign w:val="bottom"/>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eastAsia="zh-CN"/>
              </w:rPr>
              <w:t>hm²</w:t>
            </w:r>
          </w:p>
        </w:tc>
        <w:tc>
          <w:tcPr>
            <w:tcW w:w="968" w:type="pct"/>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12.5</w:t>
            </w:r>
          </w:p>
        </w:tc>
      </w:tr>
    </w:tbl>
    <w:p>
      <w:pPr>
        <w:pStyle w:val="2"/>
        <w:ind w:firstLine="1970" w:firstLineChars="701"/>
        <w:jc w:val="both"/>
        <w:rPr>
          <w:rFonts w:hint="eastAsia" w:ascii="仿宋" w:hAnsi="仿宋" w:cs="仿宋"/>
          <w:b/>
          <w:bCs/>
          <w:sz w:val="28"/>
          <w:szCs w:val="28"/>
          <w:lang w:val="en-US" w:eastAsia="zh-CN"/>
        </w:rPr>
      </w:pPr>
      <w:r>
        <w:rPr>
          <w:rFonts w:hint="eastAsia" w:ascii="仿宋" w:hAnsi="仿宋" w:cs="仿宋"/>
          <w:b/>
          <w:bCs/>
          <w:sz w:val="28"/>
          <w:szCs w:val="28"/>
          <w:lang w:val="en-US" w:eastAsia="zh-CN"/>
        </w:rPr>
        <w:t>水土保持植物措施完成情况表</w:t>
      </w:r>
    </w:p>
    <w:tbl>
      <w:tblPr>
        <w:tblStyle w:val="8"/>
        <w:tblW w:w="7962"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20"/>
        <w:gridCol w:w="3634"/>
        <w:gridCol w:w="75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202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防治分区</w:t>
            </w:r>
          </w:p>
        </w:tc>
        <w:tc>
          <w:tcPr>
            <w:tcW w:w="3634"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措施类型</w:t>
            </w:r>
          </w:p>
        </w:tc>
        <w:tc>
          <w:tcPr>
            <w:tcW w:w="750"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单位</w:t>
            </w:r>
          </w:p>
        </w:tc>
        <w:tc>
          <w:tcPr>
            <w:tcW w:w="1558" w:type="dxa"/>
            <w:tcBorders>
              <w:tl2br w:val="nil"/>
              <w:tr2bl w:val="nil"/>
            </w:tcBorders>
            <w:noWrap w:val="0"/>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风机箱变防治区</w:t>
            </w: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条播种草</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全面整地</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升压站防治区</w:t>
            </w: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条播种草</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2020"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全面整地</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集电线路防治区</w:t>
            </w: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草种条播</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道路工程防治区</w:t>
            </w: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全面整地</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2020"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634"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草种条播</w:t>
            </w:r>
          </w:p>
        </w:tc>
        <w:tc>
          <w:tcPr>
            <w:tcW w:w="750"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hm²</w:t>
            </w:r>
          </w:p>
        </w:tc>
        <w:tc>
          <w:tcPr>
            <w:tcW w:w="1558"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9.76</w:t>
            </w:r>
          </w:p>
        </w:tc>
      </w:tr>
    </w:tbl>
    <w:p>
      <w:pPr>
        <w:pStyle w:val="2"/>
        <w:ind w:firstLine="1970" w:firstLineChars="701"/>
        <w:jc w:val="both"/>
        <w:rPr>
          <w:rFonts w:hint="eastAsia" w:ascii="仿宋" w:hAnsi="仿宋" w:cs="仿宋"/>
          <w:b/>
          <w:bCs/>
          <w:sz w:val="28"/>
          <w:szCs w:val="28"/>
          <w:lang w:val="en-US" w:eastAsia="zh-CN"/>
        </w:rPr>
      </w:pPr>
    </w:p>
    <w:p>
      <w:pPr>
        <w:pStyle w:val="2"/>
        <w:ind w:firstLine="1970" w:firstLineChars="701"/>
        <w:jc w:val="both"/>
        <w:rPr>
          <w:rFonts w:hint="eastAsia" w:ascii="仿宋" w:hAnsi="仿宋" w:cs="仿宋"/>
          <w:b/>
          <w:bCs/>
          <w:sz w:val="28"/>
          <w:szCs w:val="28"/>
          <w:lang w:val="en-US" w:eastAsia="zh-CN"/>
        </w:rPr>
      </w:pPr>
    </w:p>
    <w:p>
      <w:pPr>
        <w:pStyle w:val="2"/>
        <w:ind w:firstLine="1970" w:firstLineChars="701"/>
        <w:jc w:val="both"/>
        <w:rPr>
          <w:rFonts w:hint="eastAsia" w:ascii="仿宋" w:hAnsi="仿宋" w:cs="仿宋"/>
          <w:b/>
          <w:bCs/>
          <w:sz w:val="28"/>
          <w:szCs w:val="28"/>
          <w:lang w:val="en-US" w:eastAsia="zh-CN"/>
        </w:rPr>
      </w:pPr>
    </w:p>
    <w:p>
      <w:pPr>
        <w:pStyle w:val="2"/>
        <w:ind w:firstLine="1970" w:firstLineChars="701"/>
        <w:jc w:val="both"/>
        <w:rPr>
          <w:rFonts w:hint="eastAsia" w:ascii="仿宋" w:hAnsi="仿宋" w:cs="仿宋"/>
          <w:b/>
          <w:bCs/>
          <w:sz w:val="28"/>
          <w:szCs w:val="28"/>
          <w:lang w:val="en-US" w:eastAsia="zh-CN"/>
        </w:rPr>
      </w:pPr>
      <w:r>
        <w:rPr>
          <w:rFonts w:hint="eastAsia" w:ascii="仿宋" w:hAnsi="仿宋" w:cs="仿宋"/>
          <w:b/>
          <w:bCs/>
          <w:sz w:val="28"/>
          <w:szCs w:val="28"/>
          <w:lang w:val="en-US" w:eastAsia="zh-CN"/>
        </w:rPr>
        <w:t>水土保持临时措施完成情况表</w:t>
      </w:r>
    </w:p>
    <w:tbl>
      <w:tblPr>
        <w:tblStyle w:val="8"/>
        <w:tblW w:w="492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038"/>
        <w:gridCol w:w="3826"/>
        <w:gridCol w:w="739"/>
        <w:gridCol w:w="16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2038"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防治分区</w:t>
            </w: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措施类型</w:t>
            </w:r>
          </w:p>
        </w:tc>
        <w:tc>
          <w:tcPr>
            <w:tcW w:w="739"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单位</w:t>
            </w:r>
          </w:p>
        </w:tc>
        <w:tc>
          <w:tcPr>
            <w:tcW w:w="1615" w:type="dxa"/>
            <w:tcBorders>
              <w:tl2br w:val="nil"/>
              <w:tr2bl w:val="nil"/>
            </w:tcBorders>
            <w:noWrap w:val="0"/>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工程量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风机箱变防治区</w:t>
            </w: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编织袋装土填筑</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彩条布苫盖</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升压站防治区</w:t>
            </w: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编织袋装土填筑</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2038"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彩条布苫盖</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集电线路防治区</w:t>
            </w: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编织袋装土填筑</w:t>
            </w:r>
          </w:p>
        </w:tc>
        <w:tc>
          <w:tcPr>
            <w:tcW w:w="739"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彩条布苫盖</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restart"/>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道路工程防治区</w:t>
            </w: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临时挡土墙</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编织袋装土填筑</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m³</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2038" w:type="dxa"/>
            <w:vMerge w:val="continue"/>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p>
        </w:tc>
        <w:tc>
          <w:tcPr>
            <w:tcW w:w="3826" w:type="dxa"/>
            <w:tcBorders>
              <w:tl2br w:val="nil"/>
              <w:tr2bl w:val="nil"/>
            </w:tcBorders>
            <w:noWrap/>
            <w:tcMar>
              <w:top w:w="15" w:type="dxa"/>
              <w:left w:w="15"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彩条布苫盖</w:t>
            </w:r>
          </w:p>
        </w:tc>
        <w:tc>
          <w:tcPr>
            <w:tcW w:w="739"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p>
        </w:tc>
        <w:tc>
          <w:tcPr>
            <w:tcW w:w="1615" w:type="dxa"/>
            <w:tcBorders>
              <w:tl2br w:val="nil"/>
              <w:tr2bl w:val="nil"/>
            </w:tcBorders>
            <w:noWrap/>
            <w:tcMar>
              <w:top w:w="15" w:type="dxa"/>
              <w:left w:w="15" w:type="dxa"/>
              <w:right w:w="15"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13600</w:t>
            </w:r>
          </w:p>
        </w:tc>
      </w:tr>
    </w:tbl>
    <w:p>
      <w:pPr>
        <w:adjustRightInd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土保持设施验收报告结论如下：建设单位依法编制了水土保持方案，开展了水土保持监理、监测工作，履行了水土保持法定程序；水土流失防治任务基本完成，根据本项目水土保持监测情况及监测季度报告，本项目三色评价各项评价指标合格，结论为绿色，合计得分为95分，达到了水土保持方案确</w:t>
      </w:r>
      <w:bookmarkStart w:id="0" w:name="_GoBack"/>
      <w:bookmarkEnd w:id="0"/>
      <w:r>
        <w:rPr>
          <w:rFonts w:hint="eastAsia" w:ascii="仿宋" w:hAnsi="仿宋" w:eastAsia="仿宋" w:cs="仿宋"/>
          <w:sz w:val="28"/>
          <w:szCs w:val="28"/>
          <w:lang w:val="en-US" w:eastAsia="zh-CN"/>
        </w:rPr>
        <w:t>定的水土流失防治目标值;所提供的各项水土保持档案资料基本完备，数据基本准确可信;水土保持设施管理维护责任落实，能满足工程运行要求，水土保持工程运行正常，达到水保验收合格标准。</w:t>
      </w:r>
    </w:p>
    <w:p>
      <w:pPr>
        <w:numPr>
          <w:ilvl w:val="0"/>
          <w:numId w:val="0"/>
        </w:numPr>
        <w:spacing w:line="360" w:lineRule="auto"/>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（六）验收结论</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上所述，验收组认为：华润新能源阳曲杨兴50MW风力发电项目实施过程中落实了水土保持方案及批复文件的要求，完成了水土流失预防和治理任务，水土保持工程质量合格，水土流失防治指标达到了水土保持方案确定的目标值，符合水土保持设施验收的条件，同意该项目水土保持设施通过验收。</w:t>
      </w:r>
    </w:p>
    <w:p>
      <w:pPr>
        <w:numPr>
          <w:ilvl w:val="0"/>
          <w:numId w:val="0"/>
        </w:numPr>
        <w:spacing w:line="360" w:lineRule="auto"/>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（七）后续管护要求</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1、建设单位应做好抚育管理工作，保证树草种的成活率，必要时及时补植。</w:t>
      </w:r>
    </w:p>
    <w:p>
      <w:pPr>
        <w:numPr>
          <w:ilvl w:val="0"/>
          <w:numId w:val="0"/>
        </w:num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2、建设单位在运行期需要定期对水土保持措施进行检查，发现异常情况及时采取相关措施，对损坏的水土保持工程，及时进行修复、加固，确保水土保持措施的正常运行。</w:t>
      </w:r>
    </w:p>
    <w:p>
      <w:pPr>
        <w:numPr>
          <w:ilvl w:val="0"/>
          <w:numId w:val="0"/>
        </w:numPr>
        <w:jc w:val="both"/>
        <w:rPr>
          <w:rFonts w:hint="default" w:ascii="仿宋" w:hAnsi="仿宋" w:eastAsia="仿宋" w:cs="仿宋"/>
          <w:sz w:val="28"/>
          <w:szCs w:val="28"/>
          <w:lang w:val="en-US" w:eastAsia="zh-CN"/>
        </w:rPr>
        <w:sectPr>
          <w:pgSz w:w="11906" w:h="16838"/>
          <w:pgMar w:top="1440" w:right="1800" w:bottom="1440" w:left="1800" w:header="851" w:footer="992" w:gutter="0"/>
          <w:cols w:space="425" w:num="1"/>
          <w:docGrid w:type="lines" w:linePitch="312" w:charSpace="0"/>
        </w:sectPr>
      </w:pPr>
    </w:p>
    <w:p>
      <w:pPr>
        <w:pStyle w:val="11"/>
        <w:rPr>
          <w:rFonts w:hint="default"/>
          <w:lang w:val="en-US" w:eastAsia="zh-CN"/>
        </w:rPr>
        <w:sectPr>
          <w:pgSz w:w="11906" w:h="16838"/>
          <w:pgMar w:top="1440" w:right="1800" w:bottom="1440" w:left="1800" w:header="851" w:footer="992" w:gutter="0"/>
          <w:cols w:space="425" w:num="1"/>
          <w:docGrid w:type="lines" w:linePitch="312" w:charSpace="0"/>
        </w:sectPr>
      </w:pPr>
    </w:p>
    <w:p>
      <w:pPr>
        <w:spacing w:line="360" w:lineRule="auto"/>
        <w:ind w:firstLine="2249" w:firstLineChars="700"/>
        <w:jc w:val="both"/>
        <w:rPr>
          <w:rFonts w:hint="eastAsia" w:hAnsi="宋体"/>
          <w:b/>
          <w:sz w:val="32"/>
          <w:szCs w:val="32"/>
          <w:lang w:val="en-US" w:eastAsia="zh-CN"/>
        </w:rPr>
      </w:pPr>
      <w:r>
        <w:rPr>
          <w:rFonts w:hint="eastAsia" w:hAnsi="宋体"/>
          <w:b/>
          <w:sz w:val="32"/>
          <w:szCs w:val="32"/>
          <w:lang w:val="en-US" w:eastAsia="zh-CN"/>
        </w:rPr>
        <w:t>三、验收组成员签字表</w:t>
      </w:r>
    </w:p>
    <w:tbl>
      <w:tblPr>
        <w:tblStyle w:val="9"/>
        <w:tblW w:w="9343"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66"/>
        <w:gridCol w:w="3817"/>
        <w:gridCol w:w="1325"/>
        <w:gridCol w:w="155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分工</w:t>
            </w:r>
          </w:p>
        </w:tc>
        <w:tc>
          <w:tcPr>
            <w:tcW w:w="866"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姓名</w:t>
            </w:r>
          </w:p>
        </w:tc>
        <w:tc>
          <w:tcPr>
            <w:tcW w:w="3817"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单位</w:t>
            </w:r>
          </w:p>
        </w:tc>
        <w:tc>
          <w:tcPr>
            <w:tcW w:w="1325"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职务、职称</w:t>
            </w:r>
          </w:p>
        </w:tc>
        <w:tc>
          <w:tcPr>
            <w:tcW w:w="1556"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签字</w:t>
            </w:r>
          </w:p>
        </w:tc>
        <w:tc>
          <w:tcPr>
            <w:tcW w:w="1119"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组长</w:t>
            </w:r>
          </w:p>
        </w:tc>
        <w:tc>
          <w:tcPr>
            <w:tcW w:w="866"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白金全</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华润新能源（太原）有限公司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项目负责人</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restart"/>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成员</w:t>
            </w: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张宁</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山西元森科技有限公司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助理工程师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张哲</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山西省元方生态工程咨询有限公司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助理工程师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default"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李星</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高级工程师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both"/>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王国勤</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高级工程师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王伟</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sz w:val="21"/>
                <w:szCs w:val="21"/>
                <w:vertAlign w:val="baseline"/>
                <w:lang w:val="en-US" w:eastAsia="zh-CN"/>
              </w:rPr>
            </w:pPr>
          </w:p>
        </w:tc>
        <w:tc>
          <w:tcPr>
            <w:tcW w:w="866"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吗明远</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北京云泉恒业科技</w:t>
            </w:r>
            <w:r>
              <w:rPr>
                <w:rFonts w:hint="default" w:ascii="仿宋" w:hAnsi="仿宋" w:eastAsia="仿宋" w:cs="仿宋"/>
                <w:b w:val="0"/>
                <w:bCs/>
                <w:sz w:val="21"/>
                <w:szCs w:val="21"/>
                <w:vertAlign w:val="baseline"/>
                <w:lang w:val="en-US" w:eastAsia="zh-CN"/>
              </w:rPr>
              <w:t>有限责任公司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sz w:val="21"/>
                <w:szCs w:val="21"/>
                <w:vertAlign w:val="baseline"/>
                <w:lang w:val="en-US" w:eastAsia="zh-CN"/>
              </w:rPr>
            </w:pPr>
          </w:p>
        </w:tc>
        <w:tc>
          <w:tcPr>
            <w:tcW w:w="866"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白金全</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华润新能源（太原）有限公司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项目经理</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施工单位</w:t>
            </w:r>
          </w:p>
        </w:tc>
      </w:tr>
    </w:tbl>
    <w:p>
      <w:pPr>
        <w:numPr>
          <w:ilvl w:val="0"/>
          <w:numId w:val="0"/>
        </w:numPr>
        <w:jc w:val="both"/>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color w:val="auto"/>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5486400" cy="1841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18415"/>
                      </a:xfrm>
                      <a:prstGeom prst="line">
                        <a:avLst/>
                      </a:prstGeom>
                      <a:ln w="50800">
                        <a:noFill/>
                      </a:ln>
                    </wps:spPr>
                    <wps:bodyPr upright="1"/>
                  </wps:wsp>
                </a:graphicData>
              </a:graphic>
            </wp:anchor>
          </w:drawing>
        </mc:Choice>
        <mc:Fallback>
          <w:pict>
            <v:line id="_x0000_s1026" o:spid="_x0000_s1026" o:spt="20" style="position:absolute;left:0pt;margin-left:0pt;margin-top:2.5pt;height:1.45pt;width:432pt;z-index:251659264;mso-width-relative:page;mso-height-relative:page;" filled="f" stroked="f" coordsize="21600,21600" o:gfxdata="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KlHU9IAAAAEAQAA&#10;DwAAAAAAAAABACAAAAAiAAAAZHJzL2Rvd25yZXYueG1sUEsBAhQAFAAAAAgAh07iQNxlyM2tAQAA&#10;PQMAAA4AAAAAAAAAAQAgAAAAIQEAAGRycy9lMm9Eb2MueG1sUEsFBgAAAAAGAAYAWQEAAEAFAAAA&#10;AA==&#10;">
              <v:fill on="f" focussize="0,0"/>
              <v:stroke on="f" weight="4pt"/>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center"/>
      <w:rPr>
        <w:rFonts w:hint="eastAsia" w:eastAsia="宋体"/>
        <w:szCs w:val="18"/>
        <w:u w:val="none" w:color="auto"/>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2420E"/>
    <w:multiLevelType w:val="singleLevel"/>
    <w:tmpl w:val="11F2420E"/>
    <w:lvl w:ilvl="0" w:tentative="0">
      <w:start w:val="2"/>
      <w:numFmt w:val="chineseCounting"/>
      <w:suff w:val="nothing"/>
      <w:lvlText w:val="%1、"/>
      <w:lvlJc w:val="left"/>
      <w:rPr>
        <w:rFonts w:hint="eastAsia"/>
      </w:rPr>
    </w:lvl>
  </w:abstractNum>
  <w:abstractNum w:abstractNumId="1">
    <w:nsid w:val="4F5C2FBC"/>
    <w:multiLevelType w:val="singleLevel"/>
    <w:tmpl w:val="4F5C2FB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YmNhYWE0YmExN2RmNDkwM2Y2ODNlZjdhZGEwMGQifQ=="/>
  </w:docVars>
  <w:rsids>
    <w:rsidRoot w:val="13A54D5F"/>
    <w:rsid w:val="00F213A2"/>
    <w:rsid w:val="01B01D20"/>
    <w:rsid w:val="02E85398"/>
    <w:rsid w:val="05ED7C8E"/>
    <w:rsid w:val="072C0AB0"/>
    <w:rsid w:val="07B00DE1"/>
    <w:rsid w:val="09297EB6"/>
    <w:rsid w:val="09DE4680"/>
    <w:rsid w:val="0C6C01DC"/>
    <w:rsid w:val="0E961D28"/>
    <w:rsid w:val="0EFD74DB"/>
    <w:rsid w:val="11591619"/>
    <w:rsid w:val="115B0B4A"/>
    <w:rsid w:val="12E46CDE"/>
    <w:rsid w:val="12EB111C"/>
    <w:rsid w:val="13A54D5F"/>
    <w:rsid w:val="14EB1D35"/>
    <w:rsid w:val="150C6092"/>
    <w:rsid w:val="17B82AD5"/>
    <w:rsid w:val="17E167F1"/>
    <w:rsid w:val="19050BF6"/>
    <w:rsid w:val="19945B01"/>
    <w:rsid w:val="1AD9701C"/>
    <w:rsid w:val="1CAC41C8"/>
    <w:rsid w:val="1D686743"/>
    <w:rsid w:val="1DDB2D13"/>
    <w:rsid w:val="1DE42A93"/>
    <w:rsid w:val="1DED300A"/>
    <w:rsid w:val="1E39379B"/>
    <w:rsid w:val="1FBF27AF"/>
    <w:rsid w:val="2210107D"/>
    <w:rsid w:val="224068C5"/>
    <w:rsid w:val="226C181E"/>
    <w:rsid w:val="23462623"/>
    <w:rsid w:val="2377045C"/>
    <w:rsid w:val="24A56DB8"/>
    <w:rsid w:val="26A22AC3"/>
    <w:rsid w:val="27267953"/>
    <w:rsid w:val="278E22A7"/>
    <w:rsid w:val="2CAA4897"/>
    <w:rsid w:val="2E995ADE"/>
    <w:rsid w:val="2ECD1A3C"/>
    <w:rsid w:val="32586E45"/>
    <w:rsid w:val="36545A7B"/>
    <w:rsid w:val="398A372A"/>
    <w:rsid w:val="39C424A7"/>
    <w:rsid w:val="39C749D3"/>
    <w:rsid w:val="3B0E4353"/>
    <w:rsid w:val="3BDE55D8"/>
    <w:rsid w:val="3F6E79B7"/>
    <w:rsid w:val="403D15BA"/>
    <w:rsid w:val="40CF35C5"/>
    <w:rsid w:val="42EF553B"/>
    <w:rsid w:val="432C1670"/>
    <w:rsid w:val="439B3F9B"/>
    <w:rsid w:val="43BC19AB"/>
    <w:rsid w:val="442A4249"/>
    <w:rsid w:val="44BF6C07"/>
    <w:rsid w:val="463E22B2"/>
    <w:rsid w:val="46F9236F"/>
    <w:rsid w:val="4894194E"/>
    <w:rsid w:val="494E1960"/>
    <w:rsid w:val="4A4E21F2"/>
    <w:rsid w:val="4ACD7783"/>
    <w:rsid w:val="4B2B5C98"/>
    <w:rsid w:val="4B835437"/>
    <w:rsid w:val="4C0302C7"/>
    <w:rsid w:val="4CD17E8E"/>
    <w:rsid w:val="4D1C3AE3"/>
    <w:rsid w:val="4D382384"/>
    <w:rsid w:val="4D727346"/>
    <w:rsid w:val="4F31448C"/>
    <w:rsid w:val="53B64D5E"/>
    <w:rsid w:val="54D14040"/>
    <w:rsid w:val="55BE14FE"/>
    <w:rsid w:val="56407571"/>
    <w:rsid w:val="56682342"/>
    <w:rsid w:val="57FF4869"/>
    <w:rsid w:val="581C42B6"/>
    <w:rsid w:val="58977623"/>
    <w:rsid w:val="58E10B41"/>
    <w:rsid w:val="5C5D2F98"/>
    <w:rsid w:val="5CE83035"/>
    <w:rsid w:val="5D2A0B94"/>
    <w:rsid w:val="5D485D79"/>
    <w:rsid w:val="5E3050A6"/>
    <w:rsid w:val="5EDB4A5B"/>
    <w:rsid w:val="5F5536AE"/>
    <w:rsid w:val="5FEF7FE6"/>
    <w:rsid w:val="614E195D"/>
    <w:rsid w:val="615B0164"/>
    <w:rsid w:val="617A63C9"/>
    <w:rsid w:val="65A013EB"/>
    <w:rsid w:val="665139AB"/>
    <w:rsid w:val="683A6DBE"/>
    <w:rsid w:val="69A04685"/>
    <w:rsid w:val="69CB4F0D"/>
    <w:rsid w:val="6A492096"/>
    <w:rsid w:val="6A9B7B11"/>
    <w:rsid w:val="6B371960"/>
    <w:rsid w:val="6C0D30A3"/>
    <w:rsid w:val="6C494E84"/>
    <w:rsid w:val="6D09678B"/>
    <w:rsid w:val="70545258"/>
    <w:rsid w:val="708D079A"/>
    <w:rsid w:val="71470D84"/>
    <w:rsid w:val="72857552"/>
    <w:rsid w:val="74C46697"/>
    <w:rsid w:val="782257F8"/>
    <w:rsid w:val="7A595A51"/>
    <w:rsid w:val="7B76570C"/>
    <w:rsid w:val="7CEF1BF7"/>
    <w:rsid w:val="7F7D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2"/>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567"/>
    </w:pPr>
    <w:rPr>
      <w:rFonts w:hAnsi="Times New Roman"/>
      <w:sz w:val="30"/>
    </w:rPr>
  </w:style>
  <w:style w:type="paragraph" w:styleId="3">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rFonts w:eastAsia="宋体"/>
      <w:kern w:val="2"/>
      <w:sz w:val="18"/>
      <w:szCs w:val="18"/>
      <w:lang w:val="en-US" w:eastAsia="zh-CN" w:bidi="ar-SA"/>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标题 3 Char"/>
    <w:link w:val="5"/>
    <w:qFormat/>
    <w:uiPriority w:val="0"/>
    <w:rPr>
      <w:b/>
      <w:bCs/>
      <w:sz w:val="32"/>
      <w:szCs w:val="32"/>
    </w:rPr>
  </w:style>
  <w:style w:type="paragraph" w:customStyle="1" w:styleId="13">
    <w:name w:val="正文（新格式）"/>
    <w:basedOn w:val="1"/>
    <w:qFormat/>
    <w:uiPriority w:val="0"/>
    <w:pPr>
      <w:snapToGrid w:val="0"/>
      <w:spacing w:line="360" w:lineRule="auto"/>
      <w:ind w:firstLine="640" w:firstLineChars="200"/>
    </w:pPr>
    <w:rPr>
      <w:rFonts w:ascii="Times New Roman" w:hAnsi="Times New Roman" w:eastAsia="仿宋_GB2312"/>
      <w:sz w:val="2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3173</Words>
  <Characters>3552</Characters>
  <Lines>0</Lines>
  <Paragraphs>0</Paragraphs>
  <TotalTime>6</TotalTime>
  <ScaleCrop>false</ScaleCrop>
  <LinksUpToDate>false</LinksUpToDate>
  <CharactersWithSpaces>3762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2019-07-08T02:39:00Z</dcterms:created>
  <dc:creator>On the road</dc:creator>
  <cp:lastModifiedBy>On the road</cp:lastModifiedBy>
  <dcterms:modified xsi:type="dcterms:W3CDTF">2022-11-10T10:23:22Z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37027A52327C40098BC6F9DCFF2463A0</vt:lpwstr>
  </property>
</Properties>
</file>